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9761E" w14:textId="77777777" w:rsidR="00BF49B3" w:rsidRDefault="00BF49B3" w:rsidP="00BF49B3">
      <w:bookmarkStart w:id="0" w:name="_Hlk50454159"/>
      <w:r>
        <w:t>WSJ summary article on Quarterly Bank Performance report</w:t>
      </w:r>
    </w:p>
    <w:p w14:paraId="2B553B89" w14:textId="77777777" w:rsidR="00BF49B3" w:rsidRDefault="00ED6A9F" w:rsidP="00BF49B3">
      <w:hyperlink r:id="rId5" w:history="1">
        <w:r w:rsidR="00BF49B3" w:rsidRPr="002F7C0B">
          <w:rPr>
            <w:rStyle w:val="Hyperlink"/>
          </w:rPr>
          <w:t>https://www.wsj.com/articles/the-coronavirus-is-doing-weird-things-to-the-banking-industry-11598779800?mod=searchresults&amp;page=1&amp;pos=6</w:t>
        </w:r>
      </w:hyperlink>
    </w:p>
    <w:p w14:paraId="5EC38945" w14:textId="77777777" w:rsidR="00BF49B3" w:rsidRDefault="00BF49B3" w:rsidP="00BF49B3">
      <w:r>
        <w:t>The Quarterly Bank performance (QBP) Report   Second Quarter 2020</w:t>
      </w:r>
    </w:p>
    <w:p w14:paraId="6044C17C" w14:textId="77777777" w:rsidR="00BF49B3" w:rsidRDefault="00BF49B3" w:rsidP="00BF49B3">
      <w:r>
        <w:t xml:space="preserve">Read the QBP </w:t>
      </w:r>
    </w:p>
    <w:p w14:paraId="48BF91E1" w14:textId="77777777" w:rsidR="00BF49B3" w:rsidRDefault="00ED6A9F" w:rsidP="00BF49B3">
      <w:hyperlink r:id="rId6" w:history="1">
        <w:r w:rsidR="00BF49B3" w:rsidRPr="002F7C0B">
          <w:rPr>
            <w:rStyle w:val="Hyperlink"/>
          </w:rPr>
          <w:t>https://www.fdic.gov/bank/analytical/quarterly/2020-vol14-3/fdic-v14n3-2q2020.pdf</w:t>
        </w:r>
      </w:hyperlink>
    </w:p>
    <w:p w14:paraId="21DE105C" w14:textId="36FC12C7" w:rsidR="00BF49B3" w:rsidRDefault="00BF49B3" w:rsidP="00BF49B3">
      <w:r>
        <w:t>You can also watch the FDIC summary prese</w:t>
      </w:r>
      <w:r w:rsidR="00D441F2">
        <w:t>n</w:t>
      </w:r>
      <w:r>
        <w:t>tation</w:t>
      </w:r>
    </w:p>
    <w:p w14:paraId="5F265F54" w14:textId="77777777" w:rsidR="00BF49B3" w:rsidRDefault="00ED6A9F" w:rsidP="00BF49B3">
      <w:hyperlink r:id="rId7" w:history="1">
        <w:r w:rsidR="00BF49B3" w:rsidRPr="002F7C0B">
          <w:rPr>
            <w:rStyle w:val="Hyperlink"/>
          </w:rPr>
          <w:t>http://fdic.windrosemedia.com/index.php?category=Quarterly+Banking+Profile</w:t>
        </w:r>
      </w:hyperlink>
    </w:p>
    <w:p w14:paraId="5E240569" w14:textId="5AD46D2D" w:rsidR="00BF49B3" w:rsidRDefault="00BF49B3" w:rsidP="00BF49B3">
      <w:r>
        <w:t>cl</w:t>
      </w:r>
      <w:r w:rsidR="00D441F2">
        <w:t>i</w:t>
      </w:r>
      <w:r>
        <w:t>ck on 8/25/20 presentation</w:t>
      </w:r>
    </w:p>
    <w:tbl>
      <w:tblPr>
        <w:tblW w:w="18647" w:type="dxa"/>
        <w:tblCellSpacing w:w="15" w:type="dxa"/>
        <w:shd w:val="clear" w:color="auto" w:fill="FFFFFF"/>
        <w:tblCellMar>
          <w:top w:w="45" w:type="dxa"/>
          <w:left w:w="45" w:type="dxa"/>
          <w:bottom w:w="45" w:type="dxa"/>
          <w:right w:w="45" w:type="dxa"/>
        </w:tblCellMar>
        <w:tblLook w:val="04A0" w:firstRow="1" w:lastRow="0" w:firstColumn="1" w:lastColumn="0" w:noHBand="0" w:noVBand="1"/>
      </w:tblPr>
      <w:tblGrid>
        <w:gridCol w:w="18647"/>
      </w:tblGrid>
      <w:tr w:rsidR="00BF49B3" w:rsidRPr="00AE67F3" w14:paraId="35D8953F" w14:textId="77777777" w:rsidTr="00A02132">
        <w:trPr>
          <w:tblCellSpacing w:w="15" w:type="dxa"/>
        </w:trPr>
        <w:tc>
          <w:tcPr>
            <w:tcW w:w="0" w:type="auto"/>
            <w:shd w:val="clear" w:color="auto" w:fill="FFFFFF"/>
            <w:vAlign w:val="center"/>
            <w:hideMark/>
          </w:tcPr>
          <w:p w14:paraId="26F07C91" w14:textId="77777777" w:rsidR="00BF49B3" w:rsidRDefault="00BF49B3" w:rsidP="00A02132">
            <w:pPr>
              <w:spacing w:after="0" w:line="240" w:lineRule="auto"/>
              <w:rPr>
                <w:rFonts w:ascii="Arial" w:eastAsia="Times New Roman" w:hAnsi="Arial" w:cs="Arial"/>
                <w:sz w:val="20"/>
                <w:szCs w:val="20"/>
              </w:rPr>
            </w:pPr>
            <w:r>
              <w:rPr>
                <w:rFonts w:ascii="Arial" w:eastAsia="Times New Roman" w:hAnsi="Arial" w:cs="Arial"/>
                <w:sz w:val="20"/>
                <w:szCs w:val="20"/>
              </w:rPr>
              <w:t>The QBP p</w:t>
            </w:r>
            <w:r w:rsidRPr="00AE67F3">
              <w:rPr>
                <w:rFonts w:ascii="Arial" w:eastAsia="Times New Roman" w:hAnsi="Arial" w:cs="Arial"/>
                <w:sz w:val="20"/>
                <w:szCs w:val="20"/>
              </w:rPr>
              <w:t xml:space="preserve">rovides the earliest comprehensive summary of financial results for all FDIC-insured institutions. </w:t>
            </w:r>
          </w:p>
          <w:p w14:paraId="72E77DF8" w14:textId="77777777" w:rsidR="00BF49B3" w:rsidRPr="00AE67F3" w:rsidRDefault="00BF49B3" w:rsidP="00A02132">
            <w:pPr>
              <w:spacing w:after="0" w:line="240" w:lineRule="auto"/>
              <w:rPr>
                <w:rFonts w:ascii="Arial" w:eastAsia="Times New Roman" w:hAnsi="Arial" w:cs="Arial"/>
                <w:sz w:val="20"/>
                <w:szCs w:val="20"/>
              </w:rPr>
            </w:pPr>
            <w:r w:rsidRPr="00AE67F3">
              <w:rPr>
                <w:rFonts w:ascii="Arial" w:eastAsia="Times New Roman" w:hAnsi="Arial" w:cs="Arial"/>
                <w:sz w:val="20"/>
                <w:szCs w:val="20"/>
              </w:rPr>
              <w:t>This report card on industry status and performance includes written analyses, graphs and statistical tables.</w:t>
            </w:r>
          </w:p>
        </w:tc>
      </w:tr>
      <w:tr w:rsidR="00BF49B3" w:rsidRPr="00AE67F3" w14:paraId="0DB3C54E" w14:textId="77777777" w:rsidTr="00A02132">
        <w:trPr>
          <w:tblCellSpacing w:w="15" w:type="dxa"/>
        </w:trPr>
        <w:tc>
          <w:tcPr>
            <w:tcW w:w="0" w:type="auto"/>
            <w:shd w:val="clear" w:color="auto" w:fill="FFFFFF"/>
            <w:vAlign w:val="center"/>
            <w:hideMark/>
          </w:tcPr>
          <w:p w14:paraId="50E258FE" w14:textId="77777777" w:rsidR="00BF49B3" w:rsidRDefault="00BF49B3" w:rsidP="00A02132">
            <w:pPr>
              <w:spacing w:before="100" w:beforeAutospacing="1" w:after="100" w:afterAutospacing="1" w:line="240" w:lineRule="auto"/>
              <w:rPr>
                <w:rFonts w:ascii="Arial" w:eastAsia="Times New Roman" w:hAnsi="Arial" w:cs="Arial"/>
                <w:sz w:val="20"/>
                <w:szCs w:val="20"/>
              </w:rPr>
            </w:pPr>
            <w:r w:rsidRPr="00AE67F3">
              <w:rPr>
                <w:rFonts w:ascii="Arial" w:eastAsia="Times New Roman" w:hAnsi="Arial" w:cs="Arial"/>
                <w:sz w:val="20"/>
                <w:szCs w:val="20"/>
              </w:rPr>
              <w:t xml:space="preserve">The first results are published approximately 55 days after the end of each quarter (i.e., 55 days after March 31, </w:t>
            </w:r>
          </w:p>
          <w:p w14:paraId="167CF094" w14:textId="77777777" w:rsidR="00BF49B3" w:rsidRDefault="00BF49B3" w:rsidP="00A02132">
            <w:pPr>
              <w:spacing w:before="100" w:beforeAutospacing="1" w:after="100" w:afterAutospacing="1" w:line="240" w:lineRule="auto"/>
              <w:rPr>
                <w:rFonts w:ascii="Arial" w:eastAsia="Times New Roman" w:hAnsi="Arial" w:cs="Arial"/>
                <w:sz w:val="20"/>
                <w:szCs w:val="20"/>
              </w:rPr>
            </w:pPr>
            <w:r w:rsidRPr="00AE67F3">
              <w:rPr>
                <w:rFonts w:ascii="Arial" w:eastAsia="Times New Roman" w:hAnsi="Arial" w:cs="Arial"/>
                <w:sz w:val="20"/>
                <w:szCs w:val="20"/>
              </w:rPr>
              <w:t>June 30, September 30, and December 31).</w:t>
            </w:r>
            <w:r>
              <w:rPr>
                <w:rFonts w:ascii="Arial" w:eastAsia="Times New Roman" w:hAnsi="Arial" w:cs="Arial"/>
                <w:sz w:val="20"/>
                <w:szCs w:val="20"/>
              </w:rPr>
              <w:t xml:space="preserve">   </w:t>
            </w:r>
          </w:p>
          <w:p w14:paraId="52260B3F" w14:textId="77777777" w:rsidR="00BF49B3" w:rsidRDefault="00BF49B3" w:rsidP="00A02132">
            <w:pPr>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 xml:space="preserve">Begin to take note of what the balance sheet and income statement look like for the industry. </w:t>
            </w:r>
          </w:p>
          <w:p w14:paraId="188A538B" w14:textId="77777777" w:rsidR="00BF49B3" w:rsidRPr="00AE67F3" w:rsidRDefault="00BF49B3" w:rsidP="00A02132">
            <w:pPr>
              <w:spacing w:before="100" w:beforeAutospacing="1" w:after="100" w:afterAutospacing="1" w:line="240" w:lineRule="auto"/>
              <w:rPr>
                <w:rFonts w:ascii="Arial" w:eastAsia="Times New Roman" w:hAnsi="Arial" w:cs="Arial"/>
                <w:sz w:val="20"/>
                <w:szCs w:val="20"/>
              </w:rPr>
            </w:pPr>
          </w:p>
        </w:tc>
      </w:tr>
      <w:bookmarkEnd w:id="0"/>
      <w:tr w:rsidR="00BF49B3" w:rsidRPr="00AE67F3" w14:paraId="06D506CD" w14:textId="77777777" w:rsidTr="00A02132">
        <w:trPr>
          <w:tblCellSpacing w:w="15" w:type="dxa"/>
        </w:trPr>
        <w:tc>
          <w:tcPr>
            <w:tcW w:w="0" w:type="auto"/>
            <w:shd w:val="clear" w:color="auto" w:fill="FFFFFF"/>
            <w:vAlign w:val="center"/>
          </w:tcPr>
          <w:p w14:paraId="44A4F197" w14:textId="77777777" w:rsidR="00BF49B3" w:rsidRPr="00AE67F3" w:rsidRDefault="00BF49B3" w:rsidP="00A02132">
            <w:pPr>
              <w:spacing w:before="100" w:beforeAutospacing="1" w:after="100" w:afterAutospacing="1" w:line="240" w:lineRule="auto"/>
              <w:rPr>
                <w:rFonts w:ascii="Arial" w:eastAsia="Times New Roman" w:hAnsi="Arial" w:cs="Arial"/>
                <w:sz w:val="20"/>
                <w:szCs w:val="20"/>
              </w:rPr>
            </w:pPr>
          </w:p>
        </w:tc>
      </w:tr>
    </w:tbl>
    <w:p w14:paraId="35728AE4" w14:textId="77777777" w:rsidR="00BF49B3" w:rsidRDefault="00BF49B3" w:rsidP="00BF49B3">
      <w:r>
        <w:t>Tuesday</w:t>
      </w:r>
    </w:p>
    <w:p w14:paraId="06470AF3" w14:textId="77777777" w:rsidR="00BF49B3" w:rsidRDefault="00BF49B3" w:rsidP="00BF49B3">
      <w:pPr>
        <w:pStyle w:val="ListParagraph"/>
        <w:numPr>
          <w:ilvl w:val="0"/>
          <w:numId w:val="1"/>
        </w:numPr>
      </w:pPr>
      <w:r>
        <w:t>What is net interest income?  ROA?  What is NIM? Does it vary by bank size?  What happened to ROA compared in the latest quarter?  What are some of the drivers? What is Net operating revenue?</w:t>
      </w:r>
    </w:p>
    <w:p w14:paraId="6E7BAFA4" w14:textId="198D6CE4" w:rsidR="00BF49B3" w:rsidRDefault="00BF49B3" w:rsidP="00BF49B3">
      <w:pPr>
        <w:pStyle w:val="ListParagraph"/>
        <w:numPr>
          <w:ilvl w:val="0"/>
          <w:numId w:val="1"/>
        </w:numPr>
      </w:pPr>
      <w:r>
        <w:t>How have banks reacted to the challenging interest rate environment?</w:t>
      </w:r>
      <w:r w:rsidRPr="00606C36">
        <w:t xml:space="preserve"> </w:t>
      </w:r>
      <w:r>
        <w:t xml:space="preserve">What impact does the yield curve have on profitability? </w:t>
      </w:r>
      <w:r w:rsidR="006458D3">
        <w:t xml:space="preserve">What impact has PPP loans had on average maturity loan length? </w:t>
      </w:r>
      <w:r>
        <w:t>What are banks doing to combat the yield curve?   How does this relate to interest rate risk?</w:t>
      </w:r>
      <w:r w:rsidR="006458D3">
        <w:t xml:space="preserve">   </w:t>
      </w:r>
    </w:p>
    <w:p w14:paraId="1A0E1C98" w14:textId="77777777" w:rsidR="00BF49B3" w:rsidRDefault="00BF49B3" w:rsidP="00BF49B3">
      <w:pPr>
        <w:pStyle w:val="ListParagraph"/>
        <w:numPr>
          <w:ilvl w:val="0"/>
          <w:numId w:val="1"/>
        </w:numPr>
      </w:pPr>
      <w:r>
        <w:t>Does non-interest income vary by bank size?</w:t>
      </w:r>
    </w:p>
    <w:p w14:paraId="2A6BA9FE" w14:textId="77777777" w:rsidR="00BF49B3" w:rsidRDefault="00BF49B3" w:rsidP="00BF49B3">
      <w:pPr>
        <w:pStyle w:val="ListParagraph"/>
        <w:numPr>
          <w:ilvl w:val="0"/>
          <w:numId w:val="1"/>
        </w:numPr>
      </w:pPr>
      <w:r>
        <w:t xml:space="preserve">Can you compare apples to oranges?  What asset concentrations does the FDIC use to avoid these types of comparisons?  </w:t>
      </w:r>
    </w:p>
    <w:p w14:paraId="7F6546A4" w14:textId="77777777" w:rsidR="00BF49B3" w:rsidRDefault="00BF49B3" w:rsidP="00BF49B3">
      <w:pPr>
        <w:pStyle w:val="ListParagraph"/>
        <w:numPr>
          <w:ilvl w:val="0"/>
          <w:numId w:val="1"/>
        </w:numPr>
      </w:pPr>
      <w:r>
        <w:t>What is the provision?  non-current loans, OREO reserves/all – provide some insight on trends.  What is the coverage ratio?</w:t>
      </w:r>
    </w:p>
    <w:p w14:paraId="6B540BD2" w14:textId="77777777" w:rsidR="00BF49B3" w:rsidRDefault="00BF49B3" w:rsidP="00BF49B3">
      <w:pPr>
        <w:pStyle w:val="ListParagraph"/>
        <w:numPr>
          <w:ilvl w:val="0"/>
          <w:numId w:val="1"/>
        </w:numPr>
      </w:pPr>
      <w:r>
        <w:t>What happened to the number of institutions reporting?   What is a problem bank?  Were there any changes in structure during the quarter – new banks, mergers, failures?</w:t>
      </w:r>
    </w:p>
    <w:p w14:paraId="12565614" w14:textId="77777777" w:rsidR="00BF49B3" w:rsidRDefault="00BF49B3" w:rsidP="00BF49B3">
      <w:pPr>
        <w:pStyle w:val="ListParagraph"/>
        <w:numPr>
          <w:ilvl w:val="0"/>
          <w:numId w:val="1"/>
        </w:numPr>
      </w:pPr>
      <w:r>
        <w:t xml:space="preserve">What types of loans </w:t>
      </w:r>
      <w:proofErr w:type="spellStart"/>
      <w:r>
        <w:t>do</w:t>
      </w:r>
      <w:proofErr w:type="spellEnd"/>
      <w:r>
        <w:t xml:space="preserve"> banks make? What happened to bank lending?</w:t>
      </w:r>
    </w:p>
    <w:p w14:paraId="0D0E8794" w14:textId="77777777" w:rsidR="00902177" w:rsidRDefault="00902177"/>
    <w:sectPr w:rsidR="00902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2778E"/>
    <w:multiLevelType w:val="hybridMultilevel"/>
    <w:tmpl w:val="582AB9DC"/>
    <w:lvl w:ilvl="0" w:tplc="C39CAA9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B3"/>
    <w:rsid w:val="006458D3"/>
    <w:rsid w:val="00902177"/>
    <w:rsid w:val="00BF49B3"/>
    <w:rsid w:val="00D441F2"/>
    <w:rsid w:val="00ED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09F8"/>
  <w15:chartTrackingRefBased/>
  <w15:docId w15:val="{4DC91B49-8457-4A1B-8374-8EC080FF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9B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9B3"/>
    <w:pPr>
      <w:ind w:left="720"/>
      <w:contextualSpacing/>
    </w:pPr>
  </w:style>
  <w:style w:type="character" w:styleId="Hyperlink">
    <w:name w:val="Hyperlink"/>
    <w:basedOn w:val="DefaultParagraphFont"/>
    <w:uiPriority w:val="99"/>
    <w:unhideWhenUsed/>
    <w:rsid w:val="00BF49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fdic.windrosemedia.com/index.php?category=Quarterly+Banking+Pro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dic.gov/bank/analytical/quarterly/2020-vol14-3/fdic-v14n3-2q2020.pdf" TargetMode="External"/><Relationship Id="rId5" Type="http://schemas.openxmlformats.org/officeDocument/2006/relationships/hyperlink" Target="https://www.wsj.com/articles/the-coronavirus-is-doing-weird-things-to-the-banking-industry-11598779800?mod=searchresults&amp;page=1&amp;pos=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Nigro</dc:creator>
  <cp:keywords/>
  <dc:description/>
  <cp:lastModifiedBy>Khadija Ouzaka</cp:lastModifiedBy>
  <cp:revision>2</cp:revision>
  <dcterms:created xsi:type="dcterms:W3CDTF">2020-09-14T01:10:00Z</dcterms:created>
  <dcterms:modified xsi:type="dcterms:W3CDTF">2020-09-14T01:10:00Z</dcterms:modified>
</cp:coreProperties>
</file>